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B31E58">
        <w:t>3</w:t>
      </w:r>
      <w:r w:rsidR="00F15679">
        <w:t>0</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t>2</w:t>
      </w:r>
      <w:r w:rsidR="002D5ABF">
        <w:t>8</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904AAA">
        <w:rPr>
          <w:rFonts w:cs="Arial Unicode MS" w:hint="cs"/>
          <w:b/>
          <w:color w:val="FF0000"/>
          <w:sz w:val="20"/>
          <w:szCs w:val="20"/>
          <w:cs/>
          <w:lang w:val="en-IN" w:eastAsia="en-IN" w:bidi="hi-IN"/>
        </w:rPr>
        <w:t>2</w:t>
      </w:r>
      <w:r w:rsidR="0063528B">
        <w:rPr>
          <w:rFonts w:cs="Arial Unicode MS" w:hint="cs"/>
          <w:b/>
          <w:color w:val="FF0000"/>
          <w:sz w:val="20"/>
          <w:szCs w:val="20"/>
          <w:cs/>
          <w:lang w:val="en-IN" w:eastAsia="en-IN" w:bidi="hi-IN"/>
        </w:rPr>
        <w:t>6</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904AAA">
        <w:rPr>
          <w:rFonts w:cs="Arial Unicode MS" w:hint="cs"/>
          <w:b/>
          <w:color w:val="FF0000"/>
          <w:sz w:val="20"/>
          <w:szCs w:val="20"/>
          <w:cs/>
          <w:lang w:val="en-IN" w:eastAsia="en-IN" w:bidi="hi-IN"/>
        </w:rPr>
        <w:t>2</w:t>
      </w:r>
      <w:r w:rsidR="0063528B">
        <w:rPr>
          <w:rFonts w:cs="Arial Unicode MS" w:hint="cs"/>
          <w:b/>
          <w:color w:val="FF0000"/>
          <w:sz w:val="20"/>
          <w:szCs w:val="20"/>
          <w:cs/>
          <w:lang w:val="en-IN" w:eastAsia="en-IN" w:bidi="hi-IN"/>
        </w:rPr>
        <w:t>6</w:t>
      </w:r>
      <w:r w:rsidR="006A30EA">
        <w:rPr>
          <w:rFonts w:cs="Arial Unicode MS" w:hint="cs"/>
          <w:b/>
          <w:color w:val="FF0000"/>
          <w:sz w:val="20"/>
          <w:szCs w:val="20"/>
          <w:cs/>
          <w:lang w:val="en-IN" w:eastAsia="en-IN" w:bidi="hi-IN"/>
        </w:rPr>
        <w:t>.</w:t>
      </w:r>
      <w:r w:rsidR="005E068F">
        <w:rPr>
          <w:rFonts w:cs="Arial Unicode MS" w:hint="cs"/>
          <w:b/>
          <w:color w:val="FF0000"/>
          <w:sz w:val="20"/>
          <w:szCs w:val="20"/>
          <w:cs/>
          <w:lang w:val="en-IN" w:eastAsia="en-IN" w:bidi="hi-IN"/>
        </w:rPr>
        <w:t>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F15679">
        <w:rPr>
          <w:rFonts w:ascii="Century Gothic" w:hAnsi="Century Gothic"/>
          <w:b/>
          <w:sz w:val="20"/>
          <w:szCs w:val="20"/>
          <w:u w:val="single"/>
        </w:rPr>
        <w:t>30</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F15679">
        <w:rPr>
          <w:rFonts w:ascii="Century Gothic" w:hAnsi="Century Gothic"/>
          <w:b/>
          <w:sz w:val="20"/>
          <w:szCs w:val="20"/>
          <w:u w:val="single"/>
        </w:rPr>
        <w:t>Thermal Cycler or Gradient PCR Machine</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904AAA">
        <w:rPr>
          <w:rFonts w:cs="Arial Unicode MS" w:hint="cs"/>
          <w:b/>
          <w:color w:val="FF0000"/>
          <w:sz w:val="20"/>
          <w:szCs w:val="20"/>
          <w:cs/>
          <w:lang w:val="en-IN" w:eastAsia="en-IN" w:bidi="hi-IN"/>
        </w:rPr>
        <w:t>2</w:t>
      </w:r>
      <w:r w:rsidR="0063528B">
        <w:rPr>
          <w:rFonts w:cs="Arial Unicode MS" w:hint="cs"/>
          <w:b/>
          <w:color w:val="FF0000"/>
          <w:sz w:val="20"/>
          <w:szCs w:val="20"/>
          <w:cs/>
          <w:lang w:val="en-IN" w:eastAsia="en-IN" w:bidi="hi-IN"/>
        </w:rPr>
        <w:t>6</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F15679" w:rsidRDefault="00F15679" w:rsidP="000D499F">
            <w:pPr>
              <w:spacing w:after="0" w:line="240" w:lineRule="auto"/>
              <w:rPr>
                <w:b/>
              </w:rPr>
            </w:pPr>
            <w:r w:rsidRPr="00F15679">
              <w:rPr>
                <w:rFonts w:ascii="Century Gothic" w:hAnsi="Century Gothic"/>
                <w:b/>
                <w:sz w:val="20"/>
                <w:szCs w:val="20"/>
              </w:rPr>
              <w:t>Thermal Cycler or Gradient PCR Machine</w:t>
            </w:r>
          </w:p>
        </w:tc>
        <w:tc>
          <w:tcPr>
            <w:tcW w:w="1345" w:type="dxa"/>
            <w:shd w:val="clear" w:color="auto" w:fill="auto"/>
          </w:tcPr>
          <w:p w:rsidR="009841B3" w:rsidRPr="00056E88" w:rsidRDefault="00F15679" w:rsidP="00F15679">
            <w:pPr>
              <w:spacing w:after="0" w:line="240" w:lineRule="auto"/>
              <w:rPr>
                <w:b/>
              </w:rPr>
            </w:pPr>
            <w:r>
              <w:rPr>
                <w:b/>
                <w:sz w:val="26"/>
              </w:rPr>
              <w:t>One</w:t>
            </w:r>
            <w:r w:rsidR="0088107F">
              <w:rPr>
                <w:b/>
                <w:sz w:val="26"/>
              </w:rPr>
              <w:t xml:space="preserve"> (0</w:t>
            </w:r>
            <w:r>
              <w:rPr>
                <w:b/>
                <w:sz w:val="26"/>
              </w:rPr>
              <w:t>1</w:t>
            </w:r>
            <w:r w:rsidR="0088107F">
              <w:rPr>
                <w:b/>
                <w:sz w:val="26"/>
              </w:rPr>
              <w:t>)</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 xml:space="preserve">System should have </w:t>
            </w:r>
            <w:proofErr w:type="spellStart"/>
            <w:r w:rsidRPr="00462853">
              <w:rPr>
                <w:rFonts w:ascii="Calibri" w:hAnsi="Calibri" w:cs="Tahoma"/>
                <w:color w:val="2B2B2B"/>
                <w:sz w:val="20"/>
                <w:szCs w:val="20"/>
              </w:rPr>
              <w:t>peltier</w:t>
            </w:r>
            <w:proofErr w:type="spellEnd"/>
            <w:r w:rsidRPr="00462853">
              <w:rPr>
                <w:rFonts w:ascii="Calibri" w:hAnsi="Calibri" w:cs="Tahoma"/>
                <w:color w:val="2B2B2B"/>
                <w:sz w:val="20"/>
                <w:szCs w:val="20"/>
              </w:rPr>
              <w:t xml:space="preserve"> based heating and cooling</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have large digital display with graphic programming with program overwrite protection</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be able to test 6 or more different temperatures in gradient function</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ensure identical ramp rates in both gradient and normal operation; heating rate 3</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or more per sec and cooling rate  2</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or more per sec</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Gradient temperature range should be from 30-99</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with minimum gradient speed of 0.5</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Gradient block with selectable temperature gradient from 1-20</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Block temperature accuracy should be</w:t>
            </w:r>
            <w:r w:rsidRPr="00462853">
              <w:rPr>
                <w:rStyle w:val="apple-converted-space"/>
                <w:rFonts w:ascii="Calibri" w:eastAsiaTheme="majorEastAsia" w:hAnsi="Calibri"/>
                <w:color w:val="2B2B2B"/>
                <w:sz w:val="20"/>
                <w:szCs w:val="20"/>
              </w:rPr>
              <w:t> </w:t>
            </w:r>
            <w:r w:rsidRPr="00462853">
              <w:rPr>
                <w:rFonts w:ascii="Calibri" w:hAnsi="Calibri" w:cs="Tahoma"/>
                <w:color w:val="2B2B2B"/>
                <w:sz w:val="20"/>
                <w:szCs w:val="20"/>
              </w:rPr>
              <w:t>±0.2</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Block homogeneity should be</w:t>
            </w:r>
            <w:r w:rsidRPr="00462853">
              <w:rPr>
                <w:rStyle w:val="apple-converted-space"/>
                <w:rFonts w:ascii="Calibri" w:eastAsiaTheme="majorEastAsia" w:hAnsi="Calibri"/>
                <w:color w:val="2B2B2B"/>
                <w:sz w:val="20"/>
                <w:szCs w:val="20"/>
              </w:rPr>
              <w:t> </w:t>
            </w:r>
            <w:r w:rsidRPr="00462853">
              <w:rPr>
                <w:rFonts w:ascii="Calibri" w:hAnsi="Calibri" w:cs="Tahoma"/>
                <w:color w:val="2B2B2B"/>
                <w:sz w:val="20"/>
                <w:szCs w:val="20"/>
              </w:rPr>
              <w:t>≤</w:t>
            </w:r>
            <w:r w:rsidRPr="00462853">
              <w:rPr>
                <w:rStyle w:val="apple-converted-space"/>
                <w:rFonts w:ascii="Calibri" w:eastAsiaTheme="majorEastAsia" w:hAnsi="Calibri"/>
                <w:color w:val="2B2B2B"/>
                <w:sz w:val="20"/>
                <w:szCs w:val="20"/>
              </w:rPr>
              <w:t> </w:t>
            </w:r>
            <w:r w:rsidRPr="00462853">
              <w:rPr>
                <w:rFonts w:ascii="Calibri" w:hAnsi="Calibri" w:cs="Tahoma"/>
                <w:color w:val="2B2B2B"/>
                <w:sz w:val="20"/>
                <w:szCs w:val="20"/>
              </w:rPr>
              <w:t>±0.3</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during 20-72</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and</w:t>
            </w:r>
            <w:r w:rsidRPr="00462853">
              <w:rPr>
                <w:rStyle w:val="apple-converted-space"/>
                <w:rFonts w:ascii="Calibri" w:eastAsiaTheme="majorEastAsia" w:hAnsi="Calibri"/>
                <w:color w:val="2B2B2B"/>
                <w:sz w:val="20"/>
                <w:szCs w:val="20"/>
              </w:rPr>
              <w:t> </w:t>
            </w:r>
            <w:r w:rsidRPr="00462853">
              <w:rPr>
                <w:rFonts w:ascii="Calibri" w:hAnsi="Calibri" w:cs="Tahoma"/>
                <w:color w:val="2B2B2B"/>
                <w:sz w:val="20"/>
                <w:szCs w:val="20"/>
              </w:rPr>
              <w:t>≤</w:t>
            </w:r>
            <w:r w:rsidRPr="00462853">
              <w:rPr>
                <w:rStyle w:val="apple-converted-space"/>
                <w:rFonts w:ascii="Calibri" w:eastAsiaTheme="majorEastAsia" w:hAnsi="Calibri"/>
                <w:color w:val="2B2B2B"/>
                <w:sz w:val="20"/>
                <w:szCs w:val="20"/>
              </w:rPr>
              <w:t> </w:t>
            </w:r>
            <w:r w:rsidRPr="00462853">
              <w:rPr>
                <w:rFonts w:ascii="Calibri" w:hAnsi="Calibri" w:cs="Tahoma"/>
                <w:color w:val="2B2B2B"/>
                <w:sz w:val="20"/>
                <w:szCs w:val="20"/>
              </w:rPr>
              <w:t>±0.4</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during 90</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or more</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Block should be compatible for 0.2ml PCR tubes</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Reaction volume: 10-100 microliter</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accommodate flat or domed capped tubes</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have USB Ethernet; CAN in and CAN out</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lastRenderedPageBreak/>
              <w:t>System should have facility of programming of gradient function, adjustable ramp rate, time, temperature, incubation mode and pause function</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be auto restart facility at the event of power failure</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have memory for 500 or more programs</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be licenced for PCR applications</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be compatible for Indian power supply 240 V and 50 Hz</w:t>
            </w:r>
          </w:p>
          <w:p w:rsidR="009E448F" w:rsidRPr="002D5ABF"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w:t>
            </w:r>
            <w:r w:rsidRPr="002D5ABF">
              <w:rPr>
                <w:rFonts w:ascii="Calibri" w:hAnsi="Calibri" w:cs="Tahoma"/>
                <w:b/>
                <w:color w:val="2B2B2B"/>
                <w:sz w:val="20"/>
                <w:szCs w:val="20"/>
              </w:rPr>
              <w:t>ystem should be provided with online 2 KVA UPS with at least one hour power back up.</w:t>
            </w:r>
          </w:p>
          <w:p w:rsidR="002D5ABF" w:rsidRDefault="002D5ABF" w:rsidP="002D5ABF">
            <w:pPr>
              <w:pStyle w:val="yiv0447798075msolistparagraph"/>
              <w:shd w:val="clear" w:color="auto" w:fill="FFFFFF"/>
              <w:spacing w:before="0" w:beforeAutospacing="0" w:after="0" w:afterAutospacing="0"/>
              <w:jc w:val="both"/>
              <w:textAlignment w:val="baseline"/>
              <w:rPr>
                <w:rFonts w:ascii="Calibri" w:hAnsi="Calibri" w:cs="Tahoma"/>
                <w:color w:val="2B2B2B"/>
                <w:sz w:val="20"/>
                <w:szCs w:val="20"/>
              </w:rPr>
            </w:pPr>
          </w:p>
          <w:p w:rsidR="002D5ABF" w:rsidRDefault="002D5ABF" w:rsidP="002D5ABF">
            <w:pPr>
              <w:pStyle w:val="yiv0447798075msolistparagraph"/>
              <w:shd w:val="clear" w:color="auto" w:fill="FFFFFF"/>
              <w:spacing w:before="0" w:beforeAutospacing="0" w:after="0" w:afterAutospacing="0" w:line="360" w:lineRule="auto"/>
              <w:jc w:val="both"/>
              <w:textAlignment w:val="baseline"/>
              <w:rPr>
                <w:rFonts w:ascii="Calibri" w:hAnsi="Calibri" w:cs="Tahoma"/>
                <w:b/>
                <w:bCs/>
                <w:color w:val="000000"/>
                <w:sz w:val="22"/>
                <w:szCs w:val="22"/>
              </w:rPr>
            </w:pPr>
            <w:r>
              <w:rPr>
                <w:rFonts w:ascii="Calibri" w:hAnsi="Calibri" w:cs="Tahoma"/>
                <w:b/>
                <w:bCs/>
                <w:color w:val="000000"/>
                <w:sz w:val="22"/>
                <w:szCs w:val="22"/>
              </w:rPr>
              <w:t>II PCR master mix (500 reactions</w:t>
            </w:r>
          </w:p>
          <w:p w:rsidR="002D5ABF" w:rsidRPr="002D5ABF" w:rsidRDefault="002D5ABF" w:rsidP="002D5ABF">
            <w:pPr>
              <w:pStyle w:val="yiv0447798075msolistparagraph"/>
              <w:shd w:val="clear" w:color="auto" w:fill="FFFFFF"/>
              <w:spacing w:before="0" w:beforeAutospacing="0" w:after="0" w:afterAutospacing="0" w:line="360" w:lineRule="auto"/>
              <w:jc w:val="both"/>
              <w:textAlignment w:val="baseline"/>
              <w:rPr>
                <w:rFonts w:ascii="Calibri" w:hAnsi="Calibri" w:cs="Tahoma"/>
                <w:color w:val="000000"/>
                <w:sz w:val="18"/>
                <w:szCs w:val="18"/>
              </w:rPr>
            </w:pPr>
            <w:r>
              <w:rPr>
                <w:rFonts w:ascii="Calibri" w:hAnsi="Calibri" w:cs="Tahoma"/>
                <w:b/>
                <w:bCs/>
                <w:color w:val="000000"/>
                <w:sz w:val="22"/>
                <w:szCs w:val="22"/>
              </w:rPr>
              <w:t xml:space="preserve">III </w:t>
            </w:r>
            <w:r w:rsidRPr="005E1B7E">
              <w:rPr>
                <w:rFonts w:cs="Tahoma"/>
                <w:b/>
                <w:bCs/>
                <w:color w:val="000000"/>
                <w:sz w:val="22"/>
                <w:szCs w:val="28"/>
              </w:rPr>
              <w:t>PCR tubes</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rsidRPr="001B4EAF">
        <w:rPr>
          <w:b/>
          <w:i/>
        </w:rPr>
        <w:t xml:space="preserve">. </w:t>
      </w:r>
      <w:r w:rsidR="00EE7CA8" w:rsidRPr="001B4EAF">
        <w:rPr>
          <w:b/>
          <w:i/>
        </w:rPr>
        <w:tab/>
      </w:r>
      <w:r w:rsidR="00EE7CA8" w:rsidRPr="001B4EAF">
        <w:rPr>
          <w:b/>
          <w:i/>
        </w:rPr>
        <w:tab/>
        <w:t xml:space="preserve">A list of users in India (particularly Govt. of India R&amp; D organizations) and a copy of </w:t>
      </w:r>
      <w:proofErr w:type="spellStart"/>
      <w:r w:rsidR="00EE7CA8" w:rsidRPr="001B4EAF">
        <w:rPr>
          <w:b/>
          <w:i/>
        </w:rPr>
        <w:t>atleast</w:t>
      </w:r>
      <w:proofErr w:type="spellEnd"/>
      <w:r w:rsidR="00EE7CA8" w:rsidRPr="001B4EAF">
        <w:rPr>
          <w:b/>
          <w:i/>
        </w:rPr>
        <w:t xml:space="preserve"> three latest purchase orders</w:t>
      </w:r>
      <w:r w:rsidR="001B4EAF" w:rsidRPr="001B4EAF">
        <w:rPr>
          <w:b/>
          <w:i/>
        </w:rPr>
        <w:t xml:space="preserve"> </w:t>
      </w:r>
      <w:proofErr w:type="spellStart"/>
      <w:r w:rsidR="001B4EAF" w:rsidRPr="001B4EAF">
        <w:rPr>
          <w:b/>
          <w:i/>
        </w:rPr>
        <w:t>alongwith</w:t>
      </w:r>
      <w:proofErr w:type="spellEnd"/>
      <w:r w:rsidR="001B4EAF" w:rsidRPr="001B4EAF">
        <w:rPr>
          <w:b/>
          <w:i/>
        </w:rPr>
        <w:t xml:space="preserve"> performance certificates </w:t>
      </w:r>
      <w:r w:rsidR="00EE7CA8" w:rsidRPr="001B4EAF">
        <w:rPr>
          <w:b/>
          <w:i/>
        </w:rPr>
        <w:t xml:space="preserve">of the same/similar model executed in the past </w:t>
      </w:r>
      <w:r w:rsidR="005E068F" w:rsidRPr="001B4EAF">
        <w:rPr>
          <w:b/>
          <w:i/>
        </w:rPr>
        <w:t xml:space="preserve">five </w:t>
      </w:r>
      <w:r w:rsidR="00EE7CA8" w:rsidRPr="001B4EAF">
        <w:rPr>
          <w:b/>
          <w:i/>
        </w:rPr>
        <w:t xml:space="preserve">years in National laboratories or R&amp;D organizations setup by </w:t>
      </w:r>
      <w:r w:rsidR="00EE7CA8" w:rsidRPr="001B4EAF">
        <w:rPr>
          <w:rFonts w:ascii="Arial" w:hAnsi="Arial" w:cs="Arial"/>
          <w:b/>
          <w:i/>
        </w:rPr>
        <w:t>GOI must be provided in the quote.</w:t>
      </w:r>
      <w:r w:rsidR="00EE7CA8">
        <w:rPr>
          <w:rFonts w:ascii="Arial" w:hAnsi="Arial" w:cs="Arial"/>
        </w:rPr>
        <w:t xml:space="preserve"> </w:t>
      </w:r>
    </w:p>
    <w:p w:rsidR="0063528B"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63528B" w:rsidRDefault="0063528B" w:rsidP="00FF4563">
      <w:pPr>
        <w:spacing w:after="0" w:line="240" w:lineRule="auto"/>
        <w:ind w:left="719" w:hanging="435"/>
        <w:jc w:val="both"/>
      </w:pPr>
      <w:r>
        <w:t>6.</w:t>
      </w:r>
      <w:r>
        <w:tab/>
      </w:r>
      <w:r w:rsidRPr="0063528B">
        <w:t>A certified pointwise compliance statement should be provided with authenticated literature support.  </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63528B">
        <w:t>5221411</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F15679">
        <w:rPr>
          <w:rFonts w:ascii="Arial" w:hAnsi="Arial" w:cs="Arial"/>
          <w:bCs/>
          <w:color w:val="FF0000"/>
          <w:sz w:val="20"/>
          <w:szCs w:val="20"/>
          <w:lang w:val="en-US"/>
        </w:rPr>
        <w:t>17500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w:t>
      </w:r>
      <w:r w:rsidR="002D5ABF">
        <w:rPr>
          <w:rFonts w:ascii="Arial" w:hAnsi="Arial" w:cs="Arial"/>
          <w:b/>
          <w:i/>
          <w:color w:val="FF0000"/>
          <w:sz w:val="20"/>
          <w:szCs w:val="20"/>
          <w:u w:val="single"/>
        </w:rPr>
        <w:t>6</w:t>
      </w:r>
      <w:r w:rsidR="005E068F" w:rsidRPr="006B433F">
        <w:rPr>
          <w:rFonts w:ascii="Arial" w:hAnsi="Arial" w:cs="Arial"/>
          <w:b/>
          <w:i/>
          <w:color w:val="FF0000"/>
          <w:sz w:val="20"/>
          <w:szCs w:val="20"/>
          <w:u w:val="single"/>
        </w:rPr>
        <w:t>.05.2017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2D5ABF">
        <w:rPr>
          <w:rFonts w:ascii="Arial" w:hAnsi="Arial" w:cs="Arial"/>
          <w:b/>
          <w:i/>
          <w:color w:val="FF0000"/>
          <w:sz w:val="20"/>
          <w:szCs w:val="20"/>
          <w:u w:val="single"/>
        </w:rPr>
        <w:t>26</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F15679">
        <w:rPr>
          <w:rFonts w:ascii="Century Gothic" w:hAnsi="Century Gothic"/>
          <w:b/>
          <w:sz w:val="20"/>
          <w:szCs w:val="20"/>
          <w:u w:val="single"/>
        </w:rPr>
        <w:t>30</w:t>
      </w:r>
      <w:r w:rsidR="009E448F" w:rsidRPr="006B433F">
        <w:rPr>
          <w:rFonts w:ascii="Century Gothic" w:hAnsi="Century Gothic"/>
          <w:b/>
          <w:sz w:val="20"/>
          <w:szCs w:val="20"/>
          <w:u w:val="single"/>
        </w:rPr>
        <w:t>)/17-18/</w:t>
      </w:r>
      <w:proofErr w:type="spellStart"/>
      <w:r w:rsidR="009E448F" w:rsidRPr="006B433F">
        <w:rPr>
          <w:rFonts w:ascii="Century Gothic" w:hAnsi="Century Gothic"/>
          <w:b/>
          <w:sz w:val="20"/>
          <w:szCs w:val="20"/>
          <w:u w:val="single"/>
        </w:rPr>
        <w:t>N.Pur</w:t>
      </w:r>
      <w:proofErr w:type="spell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F15679">
        <w:rPr>
          <w:rFonts w:ascii="Century Gothic" w:hAnsi="Century Gothic"/>
          <w:b/>
          <w:sz w:val="20"/>
          <w:szCs w:val="20"/>
          <w:u w:val="single"/>
        </w:rPr>
        <w:t>Thermal Cycler or Gradient PCR Machine</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6B433F" w:rsidRPr="006B433F">
        <w:rPr>
          <w:rFonts w:ascii="Arial" w:hAnsi="Arial" w:cs="Arial"/>
          <w:b/>
          <w:i/>
          <w:color w:val="FF0000"/>
          <w:sz w:val="20"/>
          <w:szCs w:val="20"/>
          <w:u w:val="single"/>
        </w:rPr>
        <w:t>2</w:t>
      </w:r>
      <w:r w:rsidR="002D5ABF">
        <w:rPr>
          <w:rFonts w:ascii="Arial" w:hAnsi="Arial" w:cs="Arial"/>
          <w:b/>
          <w:i/>
          <w:color w:val="FF0000"/>
          <w:sz w:val="20"/>
          <w:szCs w:val="20"/>
          <w:u w:val="single"/>
        </w:rPr>
        <w:t>6</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904AAA">
        <w:rPr>
          <w:rFonts w:ascii="Century Gothic" w:hAnsi="Century Gothic"/>
          <w:b/>
          <w:sz w:val="20"/>
          <w:szCs w:val="20"/>
          <w:u w:val="single"/>
        </w:rPr>
        <w:t>3</w:t>
      </w:r>
      <w:r w:rsidR="00F15679">
        <w:rPr>
          <w:rFonts w:ascii="Century Gothic" w:hAnsi="Century Gothic"/>
          <w:b/>
          <w:sz w:val="20"/>
          <w:szCs w:val="20"/>
          <w:u w:val="single"/>
        </w:rPr>
        <w:t>0</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2</w:t>
      </w:r>
      <w:r w:rsidR="002D5ABF">
        <w:rPr>
          <w:b/>
          <w:sz w:val="20"/>
          <w:szCs w:val="20"/>
          <w:lang w:val="en-US"/>
        </w:rPr>
        <w:t>8.</w:t>
      </w:r>
      <w:r w:rsidR="005D7BFF">
        <w:rPr>
          <w:b/>
          <w:sz w:val="20"/>
          <w:szCs w:val="20"/>
          <w:lang w:val="en-US"/>
        </w:rPr>
        <w:t>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88107F">
        <w:rPr>
          <w:rFonts w:ascii="Century Gothic" w:hAnsi="Century Gothic"/>
          <w:b/>
          <w:sz w:val="20"/>
          <w:szCs w:val="20"/>
          <w:u w:val="single"/>
        </w:rPr>
        <w:t>3</w:t>
      </w:r>
      <w:r w:rsidR="00F15679">
        <w:rPr>
          <w:rFonts w:ascii="Century Gothic" w:hAnsi="Century Gothic"/>
          <w:b/>
          <w:sz w:val="20"/>
          <w:szCs w:val="20"/>
          <w:u w:val="single"/>
        </w:rPr>
        <w:t>0</w:t>
      </w:r>
      <w:r w:rsidR="009E448F">
        <w:rPr>
          <w:rFonts w:ascii="Century Gothic" w:hAnsi="Century Gothic"/>
          <w:b/>
          <w:sz w:val="20"/>
          <w:szCs w:val="20"/>
          <w:u w:val="single"/>
        </w:rPr>
        <w:t xml:space="preserve">)/17-18/N.Pur </w:t>
      </w:r>
      <w:r w:rsidRPr="001B673D">
        <w:rPr>
          <w:b/>
          <w:sz w:val="20"/>
          <w:szCs w:val="20"/>
          <w:lang w:val="en-US"/>
        </w:rPr>
        <w:t xml:space="preserve">dated </w:t>
      </w:r>
      <w:r w:rsidR="0002592C">
        <w:rPr>
          <w:b/>
          <w:sz w:val="20"/>
          <w:szCs w:val="20"/>
          <w:lang w:val="en-US"/>
        </w:rPr>
        <w:t xml:space="preserve">    </w:t>
      </w:r>
      <w:r w:rsidR="00692FAF">
        <w:rPr>
          <w:b/>
          <w:sz w:val="20"/>
          <w:szCs w:val="20"/>
          <w:lang w:val="en-US"/>
        </w:rPr>
        <w:t>2</w:t>
      </w:r>
      <w:r w:rsidR="002D5ABF">
        <w:rPr>
          <w:b/>
          <w:sz w:val="20"/>
          <w:szCs w:val="20"/>
          <w:lang w:val="en-US"/>
        </w:rPr>
        <w:t>8.</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even" r:id="rId8"/>
      <w:headerReference w:type="default" r:id="rId9"/>
      <w:footerReference w:type="even" r:id="rId10"/>
      <w:footerReference w:type="default" r:id="rId11"/>
      <w:headerReference w:type="first" r:id="rId12"/>
      <w:footerReference w:type="first" r:id="rId13"/>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22F" w:rsidRDefault="0010222F">
      <w:pPr>
        <w:spacing w:after="0" w:line="240" w:lineRule="auto"/>
      </w:pPr>
      <w:r>
        <w:separator/>
      </w:r>
    </w:p>
  </w:endnote>
  <w:endnote w:type="continuationSeparator" w:id="0">
    <w:p w:rsidR="0010222F" w:rsidRDefault="001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34085" w:rsidRPr="00DD5BA3" w:rsidRDefault="00C34085" w:rsidP="00C34085">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C34085" w:rsidRPr="00DD5BA3" w:rsidRDefault="00C34085" w:rsidP="00C34085">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22F" w:rsidRDefault="0010222F">
      <w:pPr>
        <w:spacing w:after="0" w:line="240" w:lineRule="auto"/>
      </w:pPr>
      <w:r>
        <w:separator/>
      </w:r>
    </w:p>
  </w:footnote>
  <w:footnote w:type="continuationSeparator" w:id="0">
    <w:p w:rsidR="0010222F" w:rsidRDefault="001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5E13F2B"/>
    <w:multiLevelType w:val="hybridMultilevel"/>
    <w:tmpl w:val="34F87A6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6462A"/>
    <w:multiLevelType w:val="hybridMultilevel"/>
    <w:tmpl w:val="0E147606"/>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2"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4"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3"/>
  </w:num>
  <w:num w:numId="4">
    <w:abstractNumId w:val="0"/>
  </w:num>
  <w:num w:numId="5">
    <w:abstractNumId w:val="10"/>
  </w:num>
  <w:num w:numId="6">
    <w:abstractNumId w:val="1"/>
  </w:num>
  <w:num w:numId="7">
    <w:abstractNumId w:val="12"/>
  </w:num>
  <w:num w:numId="8">
    <w:abstractNumId w:val="2"/>
  </w:num>
  <w:num w:numId="9">
    <w:abstractNumId w:val="9"/>
  </w:num>
  <w:num w:numId="10">
    <w:abstractNumId w:val="26"/>
  </w:num>
  <w:num w:numId="11">
    <w:abstractNumId w:val="32"/>
  </w:num>
  <w:num w:numId="12">
    <w:abstractNumId w:val="17"/>
  </w:num>
  <w:num w:numId="13">
    <w:abstractNumId w:val="5"/>
  </w:num>
  <w:num w:numId="14">
    <w:abstractNumId w:val="21"/>
  </w:num>
  <w:num w:numId="15">
    <w:abstractNumId w:val="15"/>
  </w:num>
  <w:num w:numId="16">
    <w:abstractNumId w:val="14"/>
  </w:num>
  <w:num w:numId="17">
    <w:abstractNumId w:val="3"/>
  </w:num>
  <w:num w:numId="18">
    <w:abstractNumId w:val="20"/>
  </w:num>
  <w:num w:numId="19">
    <w:abstractNumId w:val="6"/>
  </w:num>
  <w:num w:numId="20">
    <w:abstractNumId w:val="27"/>
  </w:num>
  <w:num w:numId="21">
    <w:abstractNumId w:val="35"/>
  </w:num>
  <w:num w:numId="22">
    <w:abstractNumId w:val="28"/>
  </w:num>
  <w:num w:numId="23">
    <w:abstractNumId w:val="19"/>
  </w:num>
  <w:num w:numId="24">
    <w:abstractNumId w:val="16"/>
  </w:num>
  <w:num w:numId="25">
    <w:abstractNumId w:val="30"/>
  </w:num>
  <w:num w:numId="26">
    <w:abstractNumId w:val="18"/>
  </w:num>
  <w:num w:numId="27">
    <w:abstractNumId w:val="25"/>
  </w:num>
  <w:num w:numId="28">
    <w:abstractNumId w:val="23"/>
  </w:num>
  <w:num w:numId="29">
    <w:abstractNumId w:val="31"/>
  </w:num>
  <w:num w:numId="30">
    <w:abstractNumId w:val="34"/>
  </w:num>
  <w:num w:numId="31">
    <w:abstractNumId w:val="29"/>
  </w:num>
  <w:num w:numId="32">
    <w:abstractNumId w:val="7"/>
  </w:num>
  <w:num w:numId="33">
    <w:abstractNumId w:val="13"/>
  </w:num>
  <w:num w:numId="34">
    <w:abstractNumId w:val="8"/>
  </w:num>
  <w:num w:numId="35">
    <w:abstractNumId w:val="24"/>
  </w:num>
  <w:num w:numId="3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D499F"/>
    <w:rsid w:val="000E12AB"/>
    <w:rsid w:val="0010222F"/>
    <w:rsid w:val="0012470E"/>
    <w:rsid w:val="001365F5"/>
    <w:rsid w:val="00146A61"/>
    <w:rsid w:val="00147FA3"/>
    <w:rsid w:val="001529A7"/>
    <w:rsid w:val="00163BA4"/>
    <w:rsid w:val="001862D2"/>
    <w:rsid w:val="00192D96"/>
    <w:rsid w:val="001B4EAF"/>
    <w:rsid w:val="001B673D"/>
    <w:rsid w:val="001C0A77"/>
    <w:rsid w:val="001C0F9F"/>
    <w:rsid w:val="001C6C0C"/>
    <w:rsid w:val="001D5845"/>
    <w:rsid w:val="001D5C94"/>
    <w:rsid w:val="00203ED8"/>
    <w:rsid w:val="00210301"/>
    <w:rsid w:val="00217DC2"/>
    <w:rsid w:val="00230F2A"/>
    <w:rsid w:val="00235B48"/>
    <w:rsid w:val="00290C73"/>
    <w:rsid w:val="002A06C5"/>
    <w:rsid w:val="002A4FDB"/>
    <w:rsid w:val="002D470E"/>
    <w:rsid w:val="002D5ABF"/>
    <w:rsid w:val="002E0B17"/>
    <w:rsid w:val="002E4932"/>
    <w:rsid w:val="002F1093"/>
    <w:rsid w:val="00303137"/>
    <w:rsid w:val="00307E9E"/>
    <w:rsid w:val="00323E0A"/>
    <w:rsid w:val="00332110"/>
    <w:rsid w:val="003429C5"/>
    <w:rsid w:val="0038081A"/>
    <w:rsid w:val="003A0D67"/>
    <w:rsid w:val="003B588D"/>
    <w:rsid w:val="003E36BA"/>
    <w:rsid w:val="003E7D5E"/>
    <w:rsid w:val="003F0832"/>
    <w:rsid w:val="00415118"/>
    <w:rsid w:val="00415950"/>
    <w:rsid w:val="00433A41"/>
    <w:rsid w:val="00457981"/>
    <w:rsid w:val="004A1B1B"/>
    <w:rsid w:val="004E77A2"/>
    <w:rsid w:val="004F79F9"/>
    <w:rsid w:val="0050073B"/>
    <w:rsid w:val="00516552"/>
    <w:rsid w:val="00547186"/>
    <w:rsid w:val="00552CE9"/>
    <w:rsid w:val="00555485"/>
    <w:rsid w:val="00561D4C"/>
    <w:rsid w:val="00587F0C"/>
    <w:rsid w:val="005A046B"/>
    <w:rsid w:val="005A083E"/>
    <w:rsid w:val="005A3315"/>
    <w:rsid w:val="005C35FA"/>
    <w:rsid w:val="005C7BB0"/>
    <w:rsid w:val="005D7BFF"/>
    <w:rsid w:val="005E068F"/>
    <w:rsid w:val="005E1B29"/>
    <w:rsid w:val="005E50B0"/>
    <w:rsid w:val="005F6636"/>
    <w:rsid w:val="00614F34"/>
    <w:rsid w:val="0063528B"/>
    <w:rsid w:val="00663BAF"/>
    <w:rsid w:val="00692FAF"/>
    <w:rsid w:val="006A30EA"/>
    <w:rsid w:val="006A3F0F"/>
    <w:rsid w:val="006A6BC5"/>
    <w:rsid w:val="006B1EB7"/>
    <w:rsid w:val="006B433F"/>
    <w:rsid w:val="006C1FFF"/>
    <w:rsid w:val="006F4052"/>
    <w:rsid w:val="00705050"/>
    <w:rsid w:val="007154DC"/>
    <w:rsid w:val="00757A46"/>
    <w:rsid w:val="007616F5"/>
    <w:rsid w:val="0076196A"/>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687C"/>
    <w:rsid w:val="008B02AB"/>
    <w:rsid w:val="008B1F64"/>
    <w:rsid w:val="008B211D"/>
    <w:rsid w:val="008C7155"/>
    <w:rsid w:val="008D0DC6"/>
    <w:rsid w:val="00904AAA"/>
    <w:rsid w:val="00930016"/>
    <w:rsid w:val="009362E2"/>
    <w:rsid w:val="009362FB"/>
    <w:rsid w:val="00940375"/>
    <w:rsid w:val="00962FEF"/>
    <w:rsid w:val="009841B3"/>
    <w:rsid w:val="00985857"/>
    <w:rsid w:val="00992242"/>
    <w:rsid w:val="009A0D2A"/>
    <w:rsid w:val="009A2B09"/>
    <w:rsid w:val="009A4D30"/>
    <w:rsid w:val="009B2AD7"/>
    <w:rsid w:val="009E1287"/>
    <w:rsid w:val="009E448F"/>
    <w:rsid w:val="009F1606"/>
    <w:rsid w:val="009F4BF7"/>
    <w:rsid w:val="00A02248"/>
    <w:rsid w:val="00A270F5"/>
    <w:rsid w:val="00A53F86"/>
    <w:rsid w:val="00A55769"/>
    <w:rsid w:val="00A637BF"/>
    <w:rsid w:val="00A71962"/>
    <w:rsid w:val="00A75D74"/>
    <w:rsid w:val="00A86808"/>
    <w:rsid w:val="00A877D8"/>
    <w:rsid w:val="00AA27EE"/>
    <w:rsid w:val="00AA30DA"/>
    <w:rsid w:val="00AB7A70"/>
    <w:rsid w:val="00AC1FA4"/>
    <w:rsid w:val="00AD4420"/>
    <w:rsid w:val="00AD4BC9"/>
    <w:rsid w:val="00AD7B55"/>
    <w:rsid w:val="00AE1C00"/>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4085"/>
    <w:rsid w:val="00C36841"/>
    <w:rsid w:val="00C71704"/>
    <w:rsid w:val="00CA6BDD"/>
    <w:rsid w:val="00CB1D73"/>
    <w:rsid w:val="00CE25AF"/>
    <w:rsid w:val="00CE6331"/>
    <w:rsid w:val="00CF0711"/>
    <w:rsid w:val="00CF2500"/>
    <w:rsid w:val="00D01126"/>
    <w:rsid w:val="00D01754"/>
    <w:rsid w:val="00D20451"/>
    <w:rsid w:val="00D27DD7"/>
    <w:rsid w:val="00D679F4"/>
    <w:rsid w:val="00D7317D"/>
    <w:rsid w:val="00D73662"/>
    <w:rsid w:val="00D76A0F"/>
    <w:rsid w:val="00D80D40"/>
    <w:rsid w:val="00D906B1"/>
    <w:rsid w:val="00D90795"/>
    <w:rsid w:val="00D90B42"/>
    <w:rsid w:val="00D944FA"/>
    <w:rsid w:val="00D95C2A"/>
    <w:rsid w:val="00DB2A4F"/>
    <w:rsid w:val="00DC02E9"/>
    <w:rsid w:val="00DD2974"/>
    <w:rsid w:val="00DD59DF"/>
    <w:rsid w:val="00DD5BA3"/>
    <w:rsid w:val="00E071D8"/>
    <w:rsid w:val="00E221AA"/>
    <w:rsid w:val="00E22415"/>
    <w:rsid w:val="00E241A9"/>
    <w:rsid w:val="00E325C9"/>
    <w:rsid w:val="00E34398"/>
    <w:rsid w:val="00E5633B"/>
    <w:rsid w:val="00E76CA2"/>
    <w:rsid w:val="00E834E2"/>
    <w:rsid w:val="00E836A8"/>
    <w:rsid w:val="00E92F8B"/>
    <w:rsid w:val="00E9459A"/>
    <w:rsid w:val="00EC2C17"/>
    <w:rsid w:val="00EE62C0"/>
    <w:rsid w:val="00EE7CA8"/>
    <w:rsid w:val="00EF703F"/>
    <w:rsid w:val="00F15679"/>
    <w:rsid w:val="00F15749"/>
    <w:rsid w:val="00F17225"/>
    <w:rsid w:val="00F1744A"/>
    <w:rsid w:val="00F55C35"/>
    <w:rsid w:val="00FA38A9"/>
    <w:rsid w:val="00FA4FD5"/>
    <w:rsid w:val="00FB6F61"/>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character" w:customStyle="1" w:styleId="apple-converted-space">
    <w:name w:val="apple-converted-space"/>
    <w:basedOn w:val="DefaultParagraphFont"/>
    <w:rsid w:val="0063528B"/>
  </w:style>
  <w:style w:type="paragraph" w:customStyle="1" w:styleId="yiv0447798075msolistparagraph">
    <w:name w:val="yiv0447798075msolistparagraph"/>
    <w:basedOn w:val="Normal"/>
    <w:rsid w:val="0063528B"/>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E217-4324-4E4B-93CF-21026D3F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2016-11-23T11:39:00Z</cp:lastPrinted>
  <dcterms:created xsi:type="dcterms:W3CDTF">2017-04-28T10:33:00Z</dcterms:created>
  <dcterms:modified xsi:type="dcterms:W3CDTF">2017-04-28T10:33:00Z</dcterms:modified>
</cp:coreProperties>
</file>